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方正黑体_GBK" w:eastAsia="方正黑体_GBK" w:cs="Arial" w:hAnsiTheme="minorEastAsia"/>
          <w:kern w:val="0"/>
          <w:sz w:val="30"/>
          <w:szCs w:val="30"/>
          <w:lang w:eastAsia="zh-CN"/>
        </w:rPr>
      </w:pPr>
      <w:r>
        <w:rPr>
          <w:rFonts w:hint="eastAsia" w:ascii="方正黑体_GBK" w:eastAsia="方正黑体_GBK" w:cs="Arial" w:hAnsiTheme="minorEastAsia"/>
          <w:kern w:val="0"/>
          <w:sz w:val="30"/>
          <w:szCs w:val="30"/>
        </w:rPr>
        <w:t>附件</w:t>
      </w:r>
      <w:r>
        <w:rPr>
          <w:rFonts w:hint="default" w:ascii="方正黑体_GBK" w:eastAsia="方正黑体_GBK"/>
          <w:kern w:val="0"/>
          <w:sz w:val="30"/>
          <w:szCs w:val="30"/>
          <w:lang w:eastAsia="zh-CN"/>
        </w:rPr>
        <w:t>3</w:t>
      </w:r>
    </w:p>
    <w:p>
      <w:pPr>
        <w:adjustRightInd w:val="0"/>
        <w:snapToGrid w:val="0"/>
        <w:jc w:val="center"/>
        <w:rPr>
          <w:rFonts w:hint="default" w:ascii="方正小标宋_GBK" w:eastAsia="方正小标宋_GBK"/>
          <w:color w:val="000000"/>
          <w:kern w:val="0"/>
          <w:sz w:val="40"/>
          <w:szCs w:val="40"/>
        </w:rPr>
      </w:pPr>
      <w:r>
        <w:rPr>
          <w:rFonts w:hint="default" w:ascii="方正小标宋_GBK" w:eastAsia="方正小标宋_GBK"/>
          <w:color w:val="000000"/>
          <w:kern w:val="0"/>
          <w:sz w:val="40"/>
          <w:szCs w:val="40"/>
        </w:rPr>
        <w:t>数据质量控制计划</w:t>
      </w:r>
      <w:r>
        <w:rPr>
          <w:rFonts w:hint="eastAsia" w:ascii="方正小标宋_GBK" w:eastAsia="方正小标宋_GBK"/>
          <w:color w:val="000000"/>
          <w:kern w:val="0"/>
          <w:sz w:val="40"/>
          <w:szCs w:val="40"/>
        </w:rPr>
        <w:t>模板</w:t>
      </w:r>
    </w:p>
    <w:p>
      <w:pPr>
        <w:adjustRightInd w:val="0"/>
        <w:snapToGrid w:val="0"/>
        <w:jc w:val="center"/>
        <w:rPr>
          <w:rFonts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仿宋_GBK"/>
          <w:kern w:val="0"/>
          <w:sz w:val="24"/>
          <w:u w:val="single"/>
        </w:rPr>
      </w:pPr>
      <w:r>
        <w:rPr>
          <w:rFonts w:eastAsia="方正仿宋_GBK"/>
          <w:kern w:val="0"/>
          <w:sz w:val="24"/>
          <w:u w:val="single"/>
        </w:rPr>
        <w:t>XX（重点排放单位名称）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仿宋_GBK"/>
          <w:kern w:val="0"/>
          <w:sz w:val="24"/>
        </w:rPr>
      </w:pPr>
      <w:r>
        <w:rPr>
          <w:rFonts w:hint="eastAsia" w:eastAsia="方正仿宋_GBK"/>
          <w:kern w:val="0"/>
          <w:sz w:val="24"/>
        </w:rPr>
        <w:t>数据质量控制计划</w:t>
      </w:r>
      <w:r>
        <w:rPr>
          <w:rFonts w:hint="default" w:eastAsia="方正仿宋_GBK"/>
          <w:kern w:val="0"/>
          <w:sz w:val="24"/>
        </w:rPr>
        <w:t>（</w:t>
      </w:r>
      <w:r>
        <w:rPr>
          <w:rFonts w:eastAsia="方正仿宋_GBK"/>
          <w:kern w:val="0"/>
          <w:sz w:val="24"/>
        </w:rPr>
        <w:t>温室气体排放监测计划）</w:t>
      </w: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2876"/>
        <w:gridCol w:w="2083"/>
        <w:gridCol w:w="327"/>
        <w:gridCol w:w="2410"/>
      </w:tblGrid>
      <w:tr>
        <w:trPr>
          <w:trHeight w:val="285" w:hRule="atLeast"/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A 监测计划的版本及修订</w:t>
            </w: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版本号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修订（发布）内容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修订（发布）时间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备注</w:t>
            </w: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B 报告主体描述</w:t>
            </w: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企业（或者其他经济组织）名称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地址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统一社会信用代码（</w:t>
            </w:r>
            <w:r>
              <w:rPr>
                <w:rFonts w:eastAsia="方正仿宋_GBK"/>
                <w:kern w:val="0"/>
                <w:szCs w:val="21"/>
              </w:rPr>
              <w:t>组织机构代码</w:t>
            </w:r>
            <w:r>
              <w:rPr>
                <w:rFonts w:hint="eastAsia" w:eastAsia="方正仿宋_GBK"/>
                <w:kern w:val="0"/>
                <w:szCs w:val="21"/>
              </w:rPr>
              <w:t>）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行业分类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（按核算指南分类）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法定代表人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姓名：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电话：</w:t>
            </w:r>
          </w:p>
        </w:tc>
      </w:tr>
      <w:tr>
        <w:trPr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监测计划制定人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姓名</w:t>
            </w:r>
            <w:r>
              <w:rPr>
                <w:rFonts w:hint="eastAsia" w:eastAsia="方正仿宋_GBK"/>
                <w:kern w:val="0"/>
                <w:szCs w:val="21"/>
              </w:rPr>
              <w:t>：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电话：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邮箱：</w:t>
            </w:r>
          </w:p>
        </w:tc>
      </w:tr>
      <w:tr>
        <w:trPr>
          <w:jc w:val="center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报告主体简介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单位简介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kern w:val="0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（至少包括：成立时间、所有权状况、法人代表、组织机构图和厂区平面分布图）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（至少包括：主营产品的名称及产品代码）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主营产品及生产工艺</w:t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（至少包括：每种产品的生产工艺流程图及工艺流程描述</w:t>
            </w:r>
            <w:r>
              <w:rPr>
                <w:rFonts w:hint="eastAsia" w:eastAsia="方正楷体_GBK"/>
                <w:kern w:val="0"/>
                <w:szCs w:val="21"/>
              </w:rPr>
              <w:t>，并在图中标明</w:t>
            </w:r>
            <w:r>
              <w:rPr>
                <w:rFonts w:eastAsia="方正楷体_GBK"/>
                <w:kern w:val="0"/>
                <w:szCs w:val="21"/>
              </w:rPr>
              <w:t>温室气体排放设施，对于涉及化学反应的工艺需写明化学反应方程式）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left="210" w:leftChars="100"/>
              <w:jc w:val="left"/>
              <w:rPr>
                <w:rFonts w:eastAsia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Theme="minorEastAsia"/>
          <w:kern w:val="0"/>
          <w:szCs w:val="21"/>
        </w:rPr>
        <w:sectPr>
          <w:headerReference r:id="rId4" w:type="default"/>
          <w:footerReference r:id="rId5" w:type="default"/>
          <w:pgSz w:w="11906" w:h="16838"/>
          <w:pgMar w:top="1985" w:right="1616" w:bottom="1814" w:left="1616" w:header="851" w:footer="1474" w:gutter="0"/>
          <w:pgNumType w:fmt="numberInDash" w:start="14"/>
          <w:cols w:space="720" w:num="1"/>
          <w:docGrid w:type="lines" w:linePitch="312" w:charSpace="0"/>
        </w:sectPr>
      </w:pPr>
    </w:p>
    <w:tbl>
      <w:tblPr>
        <w:tblStyle w:val="25"/>
        <w:tblW w:w="15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16"/>
        <w:gridCol w:w="593"/>
        <w:gridCol w:w="2195"/>
        <w:gridCol w:w="1596"/>
        <w:gridCol w:w="1879"/>
        <w:gridCol w:w="812"/>
        <w:gridCol w:w="1134"/>
        <w:gridCol w:w="751"/>
        <w:gridCol w:w="8"/>
        <w:gridCol w:w="1225"/>
        <w:gridCol w:w="1196"/>
        <w:gridCol w:w="827"/>
        <w:gridCol w:w="811"/>
        <w:gridCol w:w="643"/>
      </w:tblGrid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C 核算边界和主要排放设施描述</w:t>
            </w: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法人边界的核算和报告范围描述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0"/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边界的描述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"/>
            </w: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210" w:leftChars="10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主要排放设施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2"/>
            </w: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</w:rPr>
            </w:pPr>
            <w:r>
              <w:rPr>
                <w:rFonts w:eastAsia="方正仿宋_GBK"/>
              </w:rPr>
              <w:t>6.1与燃料燃烧排放相关的排放设施</w:t>
            </w: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排放过程及温室气体种类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3"/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6.2与工业过程排放相关的排放设施</w:t>
            </w: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排放设施名称</w:t>
            </w: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排放设施安装位置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排放过程及温室气体种类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4"/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3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6.3主要耗电和耗热的设施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5"/>
            </w: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编号</w:t>
            </w: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设施名称</w:t>
            </w: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设施安装位置</w:t>
            </w: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ind w:left="0"/>
              <w:contextualSpacing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是否纳入</w:t>
            </w:r>
            <w:r>
              <w:rPr>
                <w:rFonts w:hint="eastAsia" w:eastAsia="方正仿宋_GBK"/>
                <w:kern w:val="0"/>
                <w:szCs w:val="21"/>
              </w:rPr>
              <w:t>补充数据表核算</w:t>
            </w:r>
            <w:r>
              <w:rPr>
                <w:rFonts w:eastAsia="方正仿宋_GBK"/>
                <w:kern w:val="0"/>
                <w:szCs w:val="21"/>
              </w:rPr>
              <w:t>边界</w:t>
            </w:r>
            <w:r>
              <w:rPr>
                <w:rFonts w:hint="eastAsia" w:eastAsia="方正仿宋_GBK"/>
                <w:kern w:val="0"/>
                <w:szCs w:val="21"/>
              </w:rPr>
              <w:t>范围</w:t>
            </w: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240" w:lineRule="exact"/>
              <w:ind w:left="630"/>
              <w:contextualSpacing w:val="0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br w:type="page"/>
            </w:r>
            <w:r>
              <w:rPr>
                <w:rFonts w:eastAsia="方正仿宋_GBK"/>
                <w:kern w:val="0"/>
                <w:szCs w:val="21"/>
              </w:rPr>
              <w:t>D活动数据和排放因子的确定方式</w:t>
            </w:r>
          </w:p>
        </w:tc>
      </w:tr>
      <w:tr>
        <w:trPr>
          <w:trHeight w:val="193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>D-1 燃料燃烧排放活动数据和排放因子的确定方式</w:t>
            </w:r>
          </w:p>
        </w:tc>
      </w:tr>
      <w:tr>
        <w:trPr>
          <w:trHeight w:val="20" w:hRule="atLeast"/>
          <w:jc w:val="center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燃料种类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6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rPr>
          <w:trHeight w:val="927" w:hRule="atLeast"/>
          <w:jc w:val="center"/>
        </w:trPr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6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="方正仿宋_GBK"/>
                <w:szCs w:val="22"/>
              </w:rPr>
            </w:pPr>
          </w:p>
        </w:tc>
      </w:tr>
      <w:tr>
        <w:trPr>
          <w:trHeight w:val="162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燃料种类A</w:t>
            </w:r>
            <w:r>
              <w:rPr>
                <w:rStyle w:val="24"/>
                <w:rFonts w:eastAsia="方正仿宋_GBK"/>
              </w:rPr>
              <w:footnoteReference w:id="7"/>
            </w: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i/>
                <w:iCs/>
                <w:color w:val="4F81BD" w:themeColor="accent1"/>
                <w:spacing w:val="15"/>
                <w:kern w:val="0"/>
                <w:sz w:val="24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  <w:r>
              <w:rPr>
                <w:rFonts w:eastAsia="方正仿宋_GBK"/>
                <w:kern w:val="0"/>
                <w:szCs w:val="21"/>
                <w:vertAlign w:val="superscript"/>
              </w:rPr>
              <w:footnoteReference w:id="8"/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燃料种类B</w:t>
            </w: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消耗量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低位发热值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单位热值含碳量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含碳量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碳氧化率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%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b/>
                <w:bCs/>
                <w:color w:val="4F81BD" w:themeColor="accent1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194" w:hRule="atLeast"/>
          <w:jc w:val="center"/>
        </w:trPr>
        <w:tc>
          <w:tcPr>
            <w:tcW w:w="153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</w:rPr>
            </w:pPr>
            <w:r>
              <w:rPr>
                <w:rFonts w:eastAsia="方正仿宋_GBK"/>
              </w:rPr>
              <w:t>燃料种类C</w:t>
            </w:r>
          </w:p>
        </w:tc>
      </w:tr>
      <w:tr>
        <w:trPr>
          <w:trHeight w:val="2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</w:tbl>
    <w:p>
      <w:pPr>
        <w:widowControl/>
        <w:jc w:val="left"/>
        <w:rPr>
          <w:rFonts w:eastAsia="方正仿宋_GBK"/>
          <w:szCs w:val="22"/>
        </w:rPr>
      </w:pPr>
    </w:p>
    <w:tbl>
      <w:tblPr>
        <w:tblStyle w:val="25"/>
        <w:tblW w:w="15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13"/>
        <w:gridCol w:w="709"/>
        <w:gridCol w:w="5103"/>
        <w:gridCol w:w="708"/>
        <w:gridCol w:w="70"/>
        <w:gridCol w:w="1064"/>
        <w:gridCol w:w="75"/>
        <w:gridCol w:w="634"/>
        <w:gridCol w:w="224"/>
        <w:gridCol w:w="932"/>
        <w:gridCol w:w="207"/>
        <w:gridCol w:w="912"/>
        <w:gridCol w:w="228"/>
        <w:gridCol w:w="656"/>
        <w:gridCol w:w="64"/>
        <w:gridCol w:w="743"/>
        <w:gridCol w:w="64"/>
        <w:gridCol w:w="725"/>
        <w:gridCol w:w="82"/>
      </w:tblGrid>
      <w:tr>
        <w:trPr>
          <w:trHeight w:val="20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</w:rPr>
            </w:pPr>
            <w:r>
              <w:rPr>
                <w:rFonts w:eastAsia="方正仿宋_GBK"/>
              </w:rPr>
              <w:t>D-2 过程排放活动数据和排放因子的确定方式</w:t>
            </w:r>
          </w:p>
          <w:p>
            <w:pPr>
              <w:adjustRightInd w:val="0"/>
              <w:snapToGrid w:val="0"/>
              <w:rPr>
                <w:rFonts w:eastAsia="方正楷体_GBK"/>
                <w:szCs w:val="22"/>
              </w:rPr>
            </w:pPr>
            <w:r>
              <w:rPr>
                <w:rFonts w:eastAsia="方正楷体_GBK"/>
              </w:rPr>
              <w:t>（行业核算指南中，除燃料燃烧、</w:t>
            </w:r>
            <w:r>
              <w:rPr>
                <w:rFonts w:hint="eastAsia" w:eastAsia="方正楷体_GBK"/>
              </w:rPr>
              <w:t>温室气体回收利用和固碳产品隐含的排放</w:t>
            </w:r>
            <w:r>
              <w:rPr>
                <w:rFonts w:eastAsia="方正楷体_GBK"/>
              </w:rPr>
              <w:t>以及购入电力和热力隐含的CO</w:t>
            </w:r>
            <w:r>
              <w:rPr>
                <w:rFonts w:eastAsia="方正楷体_GBK"/>
                <w:vertAlign w:val="subscript"/>
              </w:rPr>
              <w:t>2</w:t>
            </w:r>
            <w:r>
              <w:rPr>
                <w:rFonts w:eastAsia="方正楷体_GBK"/>
              </w:rPr>
              <w:t>排放外，其他排放均列入此表。）</w:t>
            </w:r>
          </w:p>
        </w:tc>
      </w:tr>
      <w:tr>
        <w:trPr>
          <w:trHeight w:val="20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9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i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0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rPr>
          <w:trHeight w:val="1242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i/>
                <w:sz w:val="15"/>
                <w:szCs w:val="15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过程排放1：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过程排放2：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188" w:hRule="atLeast"/>
          <w:jc w:val="center"/>
        </w:trPr>
        <w:tc>
          <w:tcPr>
            <w:tcW w:w="1563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过程排放3：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hint="eastAsia" w:eastAsia="方正仿宋_GBK"/>
                <w:kern w:val="0"/>
                <w:szCs w:val="21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</w:t>
            </w:r>
            <w:r>
              <w:rPr>
                <w:rFonts w:hint="eastAsia" w:eastAsia="方正仿宋_GBK"/>
                <w:kern w:val="0"/>
                <w:szCs w:val="21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widowControl/>
              <w:adjustRightInd w:val="0"/>
              <w:snapToGrid w:val="0"/>
              <w:spacing w:line="216" w:lineRule="auto"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adjustRightInd w:val="0"/>
              <w:snapToGrid w:val="0"/>
              <w:spacing w:line="216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16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br w:type="page"/>
            </w:r>
            <w:r>
              <w:rPr>
                <w:rFonts w:eastAsia="方正仿宋_GBK"/>
              </w:rPr>
              <w:t>D-3 温室气体回收、固碳产品隐含的排放等需要扣除的排放量</w:t>
            </w: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参数描述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0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4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8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频次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精度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8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  <w:tc>
          <w:tcPr>
            <w:tcW w:w="7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Theme="minorEastAsia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回收：</w:t>
            </w: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CH</w:t>
            </w:r>
            <w:r>
              <w:rPr>
                <w:rFonts w:eastAsia="方正仿宋_GBK"/>
                <w:vertAlign w:val="subscript"/>
              </w:rPr>
              <w:t>4</w:t>
            </w:r>
            <w:r>
              <w:rPr>
                <w:rFonts w:eastAsia="方正仿宋_GBK"/>
              </w:rPr>
              <w:t>回收：</w:t>
            </w: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固碳产品隐含的排放：</w:t>
            </w: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参数2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55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192" w:lineRule="auto"/>
              <w:rPr>
                <w:rFonts w:eastAsiaTheme="minorEastAsia"/>
                <w:szCs w:val="22"/>
              </w:rPr>
            </w:pPr>
            <w:r>
              <w:rPr>
                <w:rFonts w:eastAsia="方正仿宋_GBK"/>
              </w:rPr>
              <w:t>其他排放：</w:t>
            </w:r>
            <w:r>
              <w:rPr>
                <w:rFonts w:eastAsia="方正楷体_GBK"/>
              </w:rPr>
              <w:t>（按照相应行业核算</w:t>
            </w:r>
            <w:r>
              <w:rPr>
                <w:rFonts w:hint="eastAsia" w:eastAsia="方正楷体_GBK"/>
              </w:rPr>
              <w:t>方法与报告</w:t>
            </w:r>
            <w:r>
              <w:rPr>
                <w:rFonts w:eastAsia="方正楷体_GBK"/>
              </w:rPr>
              <w:t>指南中的第五部分核算方法的排放种类填写）</w:t>
            </w: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参数1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  <w:tr>
        <w:trPr>
          <w:gridAfter w:val="1"/>
          <w:wAfter w:w="82" w:type="dxa"/>
          <w:trHeight w:val="317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……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adjustRightInd w:val="0"/>
              <w:snapToGrid w:val="0"/>
              <w:spacing w:line="192" w:lineRule="auto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adjustRightInd w:val="0"/>
              <w:snapToGrid w:val="0"/>
              <w:spacing w:line="192" w:lineRule="auto"/>
              <w:ind w:firstLine="422"/>
              <w:rPr>
                <w:rFonts w:eastAsia="方正仿宋_GBK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eastAsia="方正仿宋_GBK"/>
                <w:szCs w:val="22"/>
              </w:rPr>
            </w:pPr>
          </w:p>
        </w:tc>
      </w:tr>
    </w:tbl>
    <w:p>
      <w:pPr>
        <w:widowControl/>
        <w:jc w:val="left"/>
        <w:rPr>
          <w:rFonts w:eastAsiaTheme="minorEastAsia"/>
          <w:szCs w:val="22"/>
        </w:rPr>
      </w:pPr>
    </w:p>
    <w:tbl>
      <w:tblPr>
        <w:tblStyle w:val="25"/>
        <w:tblW w:w="15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227"/>
        <w:gridCol w:w="4500"/>
        <w:gridCol w:w="1151"/>
        <w:gridCol w:w="1150"/>
        <w:gridCol w:w="718"/>
        <w:gridCol w:w="863"/>
        <w:gridCol w:w="1150"/>
        <w:gridCol w:w="1006"/>
        <w:gridCol w:w="1006"/>
        <w:gridCol w:w="902"/>
      </w:tblGrid>
      <w:tr>
        <w:trPr>
          <w:trHeight w:val="324" w:hRule="atLeast"/>
          <w:jc w:val="center"/>
        </w:trPr>
        <w:tc>
          <w:tcPr>
            <w:tcW w:w="157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D-4</w:t>
            </w:r>
            <w:r>
              <w:rPr>
                <w:rFonts w:hint="eastAsia" w:eastAsia="方正仿宋_GBK"/>
              </w:rPr>
              <w:t xml:space="preserve"> </w:t>
            </w:r>
            <w:r>
              <w:rPr>
                <w:rFonts w:eastAsia="方正仿宋_GBK"/>
              </w:rPr>
              <w:t>净购入电力和热力活动数据和排放因子的确定方式</w:t>
            </w:r>
          </w:p>
        </w:tc>
      </w:tr>
      <w:tr>
        <w:trPr>
          <w:trHeight w:val="324" w:hRule="atLeast"/>
          <w:jc w:val="center"/>
        </w:trPr>
        <w:tc>
          <w:tcPr>
            <w:tcW w:w="2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过程参数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1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rPr>
          <w:trHeight w:val="324" w:hRule="atLeast"/>
          <w:jc w:val="center"/>
        </w:trPr>
        <w:tc>
          <w:tcPr>
            <w:tcW w:w="2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="方正仿宋_GBK"/>
                <w:szCs w:val="22"/>
              </w:rPr>
            </w:pPr>
          </w:p>
        </w:tc>
        <w:tc>
          <w:tcPr>
            <w:tcW w:w="4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监测设备安装位置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监测设备校准频次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MWh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净购入电力排放因子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/MWh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GJ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adjustRightInd w:val="0"/>
              <w:snapToGrid w:val="0"/>
              <w:contextualSpacing w:val="0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净购入热力排放因子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tCO</w:t>
            </w:r>
            <w:r>
              <w:rPr>
                <w:rFonts w:eastAsia="方正仿宋_GBK"/>
                <w:vertAlign w:val="subscript"/>
              </w:rPr>
              <w:t>2</w:t>
            </w:r>
            <w:r>
              <w:rPr>
                <w:rFonts w:eastAsia="方正仿宋_GBK"/>
              </w:rPr>
              <w:t>/GJ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2"/>
              </w:rPr>
            </w:pPr>
          </w:p>
        </w:tc>
      </w:tr>
    </w:tbl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widowControl/>
        <w:jc w:val="left"/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25"/>
        <w:tblW w:w="160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0"/>
        <w:gridCol w:w="4663"/>
        <w:gridCol w:w="1134"/>
        <w:gridCol w:w="1134"/>
        <w:gridCol w:w="709"/>
        <w:gridCol w:w="992"/>
        <w:gridCol w:w="1276"/>
        <w:gridCol w:w="1276"/>
        <w:gridCol w:w="1276"/>
        <w:gridCol w:w="849"/>
      </w:tblGrid>
      <w:tr>
        <w:trPr>
          <w:trHeight w:val="324" w:hRule="atLeast"/>
          <w:jc w:val="center"/>
        </w:trPr>
        <w:tc>
          <w:tcPr>
            <w:tcW w:w="16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D-5 补充数据表中数据的确定方式</w:t>
            </w:r>
          </w:p>
        </w:tc>
      </w:tr>
      <w:tr>
        <w:trPr>
          <w:trHeight w:val="324" w:hRule="atLeast"/>
          <w:jc w:val="center"/>
        </w:trPr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补充</w:t>
            </w:r>
            <w:r>
              <w:rPr>
                <w:rFonts w:hint="eastAsia" w:eastAsia="方正仿宋_GBK"/>
                <w:kern w:val="0"/>
                <w:szCs w:val="21"/>
              </w:rPr>
              <w:t>数据表</w:t>
            </w:r>
            <w:r>
              <w:rPr>
                <w:rFonts w:eastAsia="方正仿宋_GBK"/>
                <w:kern w:val="0"/>
                <w:szCs w:val="21"/>
              </w:rPr>
              <w:t>中要求的</w:t>
            </w:r>
            <w:r>
              <w:rPr>
                <w:rFonts w:hint="eastAsia" w:eastAsia="方正仿宋_GBK"/>
                <w:kern w:val="0"/>
                <w:szCs w:val="21"/>
              </w:rPr>
              <w:t>相关</w:t>
            </w:r>
            <w:r>
              <w:rPr>
                <w:rFonts w:eastAsia="方正仿宋_GBK"/>
                <w:kern w:val="0"/>
                <w:szCs w:val="21"/>
              </w:rPr>
              <w:t>数据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2"/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单位</w:t>
            </w:r>
          </w:p>
        </w:tc>
        <w:tc>
          <w:tcPr>
            <w:tcW w:w="4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数据的计算方法及获取方式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3"/>
            </w:r>
            <w:r>
              <w:rPr>
                <w:rStyle w:val="24"/>
                <w:rFonts w:eastAsia="方正仿宋_GBK"/>
              </w:rPr>
              <w:t>，</w:t>
            </w:r>
            <w:r>
              <w:rPr>
                <w:rStyle w:val="24"/>
                <w:rFonts w:eastAsia="方正仿宋_GBK"/>
                <w:kern w:val="0"/>
                <w:szCs w:val="21"/>
              </w:rPr>
              <w:footnoteReference w:id="14"/>
            </w:r>
          </w:p>
          <w:p>
            <w:pPr>
              <w:pStyle w:val="39"/>
              <w:adjustRightInd w:val="0"/>
              <w:snapToGrid w:val="0"/>
              <w:spacing w:line="200" w:lineRule="exact"/>
              <w:ind w:left="420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选取以下获取方式：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实测值（如是，请具体填报时，采用在表下加备注的方式写明具体方法和标准）；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默认值（如是</w:t>
            </w:r>
            <w:r>
              <w:rPr>
                <w:rFonts w:eastAsia="方正楷体_GBK"/>
                <w:sz w:val="15"/>
                <w:szCs w:val="15"/>
              </w:rPr>
              <w:t>，</w:t>
            </w:r>
            <w:r>
              <w:rPr>
                <w:rFonts w:hint="eastAsia" w:eastAsia="方正楷体_GBK"/>
                <w:sz w:val="15"/>
                <w:szCs w:val="15"/>
              </w:rPr>
              <w:t>请填写具体数值）；</w:t>
            </w:r>
          </w:p>
          <w:p>
            <w:pPr>
              <w:pStyle w:val="39"/>
              <w:numPr>
                <w:ilvl w:val="0"/>
                <w:numId w:val="2"/>
              </w:numPr>
              <w:adjustRightInd w:val="0"/>
              <w:snapToGrid w:val="0"/>
              <w:spacing w:line="200" w:lineRule="exact"/>
              <w:contextualSpacing w:val="0"/>
              <w:jc w:val="left"/>
              <w:rPr>
                <w:rFonts w:eastAsia="方正楷体_GBK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相关方结算凭证（如是，请具体填报时，采用在表下加备注的方式填写如何确保供应商数据质量）；</w:t>
            </w:r>
          </w:p>
          <w:p>
            <w:pPr>
              <w:pStyle w:val="39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eastAsiaTheme="minorEastAsia"/>
                <w:sz w:val="15"/>
                <w:szCs w:val="15"/>
              </w:rPr>
            </w:pPr>
            <w:r>
              <w:rPr>
                <w:rFonts w:hint="eastAsia" w:eastAsia="方正楷体_GBK"/>
                <w:sz w:val="15"/>
                <w:szCs w:val="15"/>
              </w:rPr>
              <w:t>其他方式（如是，请具体填报时，采用在表下加备注的方式详细描述）。</w:t>
            </w: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测量设备（适用于数据获取方式来源于实测值）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数据记录频次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数据缺失时的处理方式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>数据获取负责部门</w:t>
            </w:r>
          </w:p>
        </w:tc>
      </w:tr>
      <w:tr>
        <w:trPr>
          <w:trHeight w:val="324" w:hRule="atLeast"/>
          <w:jc w:val="center"/>
        </w:trPr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Cs w:val="22"/>
              </w:rPr>
            </w:pPr>
          </w:p>
        </w:tc>
        <w:tc>
          <w:tcPr>
            <w:tcW w:w="4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Theme="minorEastAsi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监测设备及型号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安装位置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监测频次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监测设备精度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规定的</w:t>
            </w:r>
          </w:p>
          <w:p>
            <w:pPr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监测设备</w:t>
            </w:r>
          </w:p>
          <w:p>
            <w:pPr>
              <w:jc w:val="center"/>
              <w:rPr>
                <w:rFonts w:eastAsia="方正仿宋_GBK"/>
                <w:szCs w:val="22"/>
              </w:rPr>
            </w:pPr>
            <w:r>
              <w:rPr>
                <w:rFonts w:eastAsia="方正仿宋_GBK"/>
                <w:kern w:val="0"/>
                <w:szCs w:val="21"/>
              </w:rPr>
              <w:t>校准频次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3"/>
              </w:tabs>
              <w:rPr>
                <w:rFonts w:eastAsia="方正仿宋_GBK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"/>
              </w:tabs>
              <w:rPr>
                <w:rFonts w:eastAsia="方正仿宋_GBK"/>
                <w:szCs w:val="22"/>
              </w:rPr>
            </w:pPr>
            <w:r>
              <w:rPr>
                <w:rFonts w:eastAsia="方正仿宋_GBK"/>
              </w:rPr>
              <w:tab/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  <w:tr>
        <w:trPr>
          <w:trHeight w:val="32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9"/>
              <w:widowControl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_GBK"/>
                <w:szCs w:val="22"/>
              </w:rPr>
            </w:pPr>
          </w:p>
        </w:tc>
      </w:tr>
    </w:tbl>
    <w:p>
      <w:pPr>
        <w:rPr>
          <w:rFonts w:eastAsiaTheme="minorEastAsia"/>
          <w:szCs w:val="22"/>
          <w:highlight w:val="yellow"/>
        </w:rPr>
      </w:pPr>
    </w:p>
    <w:p>
      <w:pPr>
        <w:widowControl/>
        <w:jc w:val="left"/>
        <w:rPr>
          <w:rFonts w:eastAsiaTheme="minorEastAsia"/>
          <w:kern w:val="0"/>
        </w:rPr>
        <w:sectPr>
          <w:footerReference r:id="rId6" w:type="default"/>
          <w:pgSz w:w="16838" w:h="11906" w:orient="landscape"/>
          <w:pgMar w:top="1985" w:right="1616" w:bottom="1814" w:left="1616" w:header="851" w:footer="147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2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4820"/>
      </w:tblGrid>
      <w:tr>
        <w:trPr>
          <w:trHeight w:val="285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  <w:r>
              <w:br w:type="page"/>
            </w:r>
            <w:r>
              <w:rPr>
                <w:rFonts w:eastAsia="方正仿宋_GBK"/>
                <w:kern w:val="0"/>
                <w:szCs w:val="21"/>
              </w:rPr>
              <w:t>E数据内部质量控制和质量保证相关规定</w:t>
            </w:r>
          </w:p>
          <w:p>
            <w:pPr>
              <w:widowControl/>
              <w:ind w:firstLine="210" w:firstLineChars="100"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至少包括如下内容：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温室气体监测计划制定、温室气体报告专门人员的指定情况；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监测计划的制定、修订、审批以及执行等的管理程序；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温室气体排放报告的</w:t>
            </w:r>
            <w:r>
              <w:rPr>
                <w:rFonts w:hint="eastAsia" w:eastAsia="方正楷体_GBK"/>
                <w:kern w:val="0"/>
                <w:szCs w:val="21"/>
              </w:rPr>
              <w:t>编写、内部评估以及审批等管理程序</w:t>
            </w:r>
            <w:r>
              <w:rPr>
                <w:rFonts w:eastAsia="方正楷体_GBK"/>
                <w:kern w:val="0"/>
                <w:szCs w:val="21"/>
              </w:rPr>
              <w:t>；</w:t>
            </w:r>
          </w:p>
          <w:p>
            <w:pPr>
              <w:pStyle w:val="39"/>
              <w:widowControl/>
              <w:numPr>
                <w:ilvl w:val="0"/>
                <w:numId w:val="3"/>
              </w:numPr>
              <w:contextualSpacing w:val="0"/>
              <w:jc w:val="left"/>
              <w:rPr>
                <w:rFonts w:eastAsia="方正楷体_GBK"/>
                <w:kern w:val="0"/>
                <w:szCs w:val="21"/>
              </w:rPr>
            </w:pPr>
            <w:r>
              <w:rPr>
                <w:rFonts w:eastAsia="方正楷体_GBK"/>
                <w:kern w:val="0"/>
                <w:szCs w:val="21"/>
              </w:rPr>
              <w:t>温室气体数据文件的归档管理程序等内容。</w:t>
            </w: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eastAsiaTheme="minorEastAsia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（如不能全部描述可</w:t>
            </w:r>
            <w:r>
              <w:rPr>
                <w:rFonts w:hint="eastAsia" w:eastAsia="方正仿宋_GBK"/>
                <w:kern w:val="0"/>
                <w:szCs w:val="21"/>
              </w:rPr>
              <w:t>增加</w:t>
            </w:r>
            <w:r>
              <w:rPr>
                <w:rFonts w:eastAsia="方正仿宋_GBK"/>
                <w:kern w:val="0"/>
                <w:szCs w:val="21"/>
              </w:rPr>
              <w:t>附件</w:t>
            </w:r>
            <w:r>
              <w:rPr>
                <w:rFonts w:hint="eastAsia" w:eastAsia="方正仿宋_GBK"/>
                <w:kern w:val="0"/>
                <w:szCs w:val="21"/>
              </w:rPr>
              <w:t>说明</w:t>
            </w:r>
            <w:r>
              <w:rPr>
                <w:rFonts w:eastAsia="方正仿宋_GBK"/>
                <w:kern w:val="0"/>
                <w:szCs w:val="21"/>
              </w:rPr>
              <w:t>）</w:t>
            </w:r>
          </w:p>
        </w:tc>
      </w:tr>
      <w:tr>
        <w:trPr>
          <w:trHeight w:val="451" w:hRule="atLeast"/>
          <w:jc w:val="center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填报时间：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451" w:hRule="atLeast"/>
          <w:jc w:val="center"/>
        </w:trPr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内部审核</w:t>
            </w:r>
            <w:r>
              <w:rPr>
                <w:rFonts w:eastAsia="方正仿宋_GBK"/>
                <w:kern w:val="0"/>
                <w:szCs w:val="21"/>
              </w:rPr>
              <w:t>人：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审核时</w:t>
            </w:r>
            <w:r>
              <w:rPr>
                <w:rFonts w:eastAsia="方正仿宋_GBK"/>
                <w:kern w:val="0"/>
                <w:szCs w:val="21"/>
              </w:rPr>
              <w:t>间：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  <w:tr>
        <w:trPr>
          <w:trHeight w:val="451" w:hRule="atLeast"/>
          <w:jc w:val="center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填报单位盖章</w:t>
            </w: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方正仿宋_GBK"/>
                <w:kern w:val="0"/>
                <w:szCs w:val="21"/>
              </w:rPr>
            </w:pPr>
          </w:p>
        </w:tc>
      </w:tr>
    </w:tbl>
    <w:p>
      <w:pPr>
        <w:rPr>
          <w:rFonts w:eastAsia="方正仿宋_GBK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Tahoma">
    <w:altName w:val="Ubuntu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pStyle w:val="1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- 10 -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</w:p>
  <w:p>
    <w:pPr>
      <w:pStyle w:val="15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 aspectratio="f"/>
          <v:textbox inset="0mm,0mm,0mm,0mm" style="mso-fit-shape-to-text:t;">
            <w:txbxContent>
              <w:p>
                <w:pPr>
                  <w:pStyle w:val="1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- 12 -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按行业核算方法和报告指南中的“核算边界”章节的要求具体描述。</w:t>
      </w:r>
    </w:p>
  </w:footnote>
  <w:footnote w:id="1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对行业补充数据表覆盖范围具体描述。</w:t>
      </w:r>
    </w:p>
  </w:footnote>
  <w:footnote w:id="2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对于同一设施同时涉及</w:t>
      </w:r>
      <w:r>
        <w:rPr>
          <w:rFonts w:eastAsia="方正仿宋_GBK"/>
        </w:rPr>
        <w:t>6.1/6.2/6.3</w:t>
      </w:r>
      <w:r>
        <w:rPr>
          <w:rFonts w:hint="eastAsia" w:eastAsia="方正仿宋_GBK"/>
        </w:rPr>
        <w:t>类排放的，需要在各类排放设施中重复填写。</w:t>
      </w:r>
    </w:p>
  </w:footnote>
  <w:footnote w:id="3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例如燃煤过程产生的二氧化碳排放。</w:t>
      </w:r>
    </w:p>
  </w:footnote>
  <w:footnote w:id="4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例如脱硫过程产生的二氧化碳排放。</w:t>
      </w:r>
    </w:p>
  </w:footnote>
  <w:footnote w:id="5">
    <w:p>
      <w:pPr>
        <w:pStyle w:val="18"/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该类设施，特别是耗电设施，只需填写主要设施即可，例如耗电量较小的照明设施可不填写。</w:t>
      </w:r>
    </w:p>
  </w:footnote>
  <w:footnote w:id="6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7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填报时请列明具体的燃料名称，同一燃料品种仅需填报一次；如果有多个设施消耗同一种燃料，请在“数据的计算方法及获取方式”中对“消耗量”、“低位发热量”、“单位热值含碳量”、“含碳量”“碳氧化率”等参数进行详细描述，不同设施的同一燃料相关信息应分别列明。</w:t>
      </w:r>
    </w:p>
  </w:footnote>
  <w:footnote w:id="8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  <w:kern w:val="0"/>
          <w:szCs w:val="21"/>
        </w:rPr>
        <w:t>仅适用于化工和石化行业。</w:t>
      </w:r>
    </w:p>
  </w:footnote>
  <w:footnote w:id="9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0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1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2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此列需要填写的数据应与行业补充数据表中的第一列“补充数据”保持内容和格式完全一致；对航空公司，该列数据包括燃油消耗量（t）、航空器飞行活动二氧化碳排放量（tCO</w:t>
      </w:r>
      <w:r>
        <w:rPr>
          <w:rFonts w:eastAsia="方正仿宋_GBK"/>
          <w:vertAlign w:val="subscript"/>
        </w:rPr>
        <w:t>2</w:t>
      </w:r>
      <w:r>
        <w:rPr>
          <w:rFonts w:hint="eastAsia" w:eastAsia="方正仿宋_GBK"/>
        </w:rPr>
        <w:t>）、运输周转量（万t</w:t>
      </w:r>
      <w:r>
        <w:rPr>
          <w:rFonts w:hint="eastAsia" w:ascii="宋体" w:hAnsi="宋体" w:cs="宋体"/>
        </w:rPr>
        <w:t>•</w:t>
      </w:r>
      <w:r>
        <w:rPr>
          <w:rFonts w:hint="eastAsia" w:eastAsia="方正仿宋_GBK"/>
        </w:rPr>
        <w:t>km）。</w:t>
      </w:r>
    </w:p>
  </w:footnote>
  <w:footnote w:id="13">
    <w:p>
      <w:pPr>
        <w:pStyle w:val="18"/>
        <w:rPr>
          <w:rFonts w:eastAsia="方正仿宋_GBK"/>
        </w:rPr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如果报告数据是由若干个参数通过一定的计算方法计算得出，需要填写计算公式以及计算公式中的每一个参数的获取方式。</w:t>
      </w:r>
    </w:p>
  </w:footnote>
  <w:footnote w:id="14">
    <w:p>
      <w:pPr>
        <w:pStyle w:val="18"/>
      </w:pPr>
      <w:r>
        <w:rPr>
          <w:rStyle w:val="24"/>
          <w:rFonts w:eastAsia="方正仿宋_GBK"/>
        </w:rPr>
        <w:footnoteRef/>
      </w:r>
      <w:r>
        <w:rPr>
          <w:rFonts w:hint="eastAsia" w:eastAsia="方正仿宋_GBK"/>
        </w:rPr>
        <w:t>如果数据的计算方法及获取方式与</w:t>
      </w:r>
      <w:r>
        <w:rPr>
          <w:rFonts w:eastAsia="方正仿宋_GBK"/>
        </w:rPr>
        <w:t>D1~D3</w:t>
      </w:r>
      <w:r>
        <w:rPr>
          <w:rFonts w:hint="eastAsia" w:eastAsia="方正仿宋_GBK"/>
        </w:rPr>
        <w:t>部分的内容相同，可在表中直接说明。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9798280">
    <w:nsid w:val="65E97388"/>
    <w:multiLevelType w:val="multilevel"/>
    <w:tmpl w:val="65E9738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79533586">
    <w:nsid w:val="641BA612"/>
    <w:multiLevelType w:val="multilevel"/>
    <w:tmpl w:val="641BA612"/>
    <w:lvl w:ilvl="0" w:tentative="1">
      <w:start w:val="5"/>
      <w:numFmt w:val="bullet"/>
      <w:lvlText w:val="−"/>
      <w:lvlJc w:val="left"/>
      <w:pPr>
        <w:ind w:left="630" w:hanging="420"/>
      </w:pPr>
      <w:rPr>
        <w:rFonts w:hint="default" w:ascii="Times New Roman" w:hAnsi="Times New Roman" w:eastAsia="微软雅黑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79533575">
    <w:nsid w:val="641BA607"/>
    <w:multiLevelType w:val="multilevel"/>
    <w:tmpl w:val="641BA607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709798280"/>
    <w:lvlOverride w:ilvl="0">
      <w:startOverride w:val="1"/>
    </w:lvlOverride>
  </w:num>
  <w:num w:numId="2">
    <w:abstractNumId w:val="1679533575"/>
  </w:num>
  <w:num w:numId="3">
    <w:abstractNumId w:val="16795335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286"/>
    <w:rsid w:val="00001E6D"/>
    <w:rsid w:val="000107E2"/>
    <w:rsid w:val="000128A8"/>
    <w:rsid w:val="00015CBC"/>
    <w:rsid w:val="000256BB"/>
    <w:rsid w:val="00034A39"/>
    <w:rsid w:val="00035A28"/>
    <w:rsid w:val="00040C26"/>
    <w:rsid w:val="00065A6B"/>
    <w:rsid w:val="0007305B"/>
    <w:rsid w:val="00073605"/>
    <w:rsid w:val="000901F7"/>
    <w:rsid w:val="000C209A"/>
    <w:rsid w:val="000D38B8"/>
    <w:rsid w:val="00114281"/>
    <w:rsid w:val="00115398"/>
    <w:rsid w:val="0012178C"/>
    <w:rsid w:val="00123755"/>
    <w:rsid w:val="001334E3"/>
    <w:rsid w:val="0013570E"/>
    <w:rsid w:val="00144B54"/>
    <w:rsid w:val="0015083D"/>
    <w:rsid w:val="00155AF9"/>
    <w:rsid w:val="00156455"/>
    <w:rsid w:val="001646B1"/>
    <w:rsid w:val="0017792B"/>
    <w:rsid w:val="00183AF3"/>
    <w:rsid w:val="00184A4C"/>
    <w:rsid w:val="00193BD0"/>
    <w:rsid w:val="001F1BED"/>
    <w:rsid w:val="002077F0"/>
    <w:rsid w:val="00240872"/>
    <w:rsid w:val="0024232B"/>
    <w:rsid w:val="002443B3"/>
    <w:rsid w:val="00254C8F"/>
    <w:rsid w:val="00262531"/>
    <w:rsid w:val="00267D5A"/>
    <w:rsid w:val="00271182"/>
    <w:rsid w:val="00275DDF"/>
    <w:rsid w:val="00283298"/>
    <w:rsid w:val="0029080F"/>
    <w:rsid w:val="002B4472"/>
    <w:rsid w:val="002D371F"/>
    <w:rsid w:val="002D4414"/>
    <w:rsid w:val="002E3352"/>
    <w:rsid w:val="002E4955"/>
    <w:rsid w:val="002F3A63"/>
    <w:rsid w:val="002F4DE8"/>
    <w:rsid w:val="002F70B5"/>
    <w:rsid w:val="00311037"/>
    <w:rsid w:val="00331992"/>
    <w:rsid w:val="00381004"/>
    <w:rsid w:val="0039035B"/>
    <w:rsid w:val="0039062B"/>
    <w:rsid w:val="003A0EBE"/>
    <w:rsid w:val="003B17CC"/>
    <w:rsid w:val="003B7BDD"/>
    <w:rsid w:val="003C4302"/>
    <w:rsid w:val="003C7B28"/>
    <w:rsid w:val="003D5365"/>
    <w:rsid w:val="00412255"/>
    <w:rsid w:val="00416999"/>
    <w:rsid w:val="00436F24"/>
    <w:rsid w:val="00445706"/>
    <w:rsid w:val="00447A4C"/>
    <w:rsid w:val="00461BB7"/>
    <w:rsid w:val="00471A4B"/>
    <w:rsid w:val="00475FEB"/>
    <w:rsid w:val="00491419"/>
    <w:rsid w:val="004B5DB2"/>
    <w:rsid w:val="004B61E8"/>
    <w:rsid w:val="004B6F47"/>
    <w:rsid w:val="004C0455"/>
    <w:rsid w:val="004C055E"/>
    <w:rsid w:val="004C470A"/>
    <w:rsid w:val="004F232C"/>
    <w:rsid w:val="00500384"/>
    <w:rsid w:val="00505898"/>
    <w:rsid w:val="005142D2"/>
    <w:rsid w:val="00550B2E"/>
    <w:rsid w:val="00551ADA"/>
    <w:rsid w:val="00574586"/>
    <w:rsid w:val="0057742D"/>
    <w:rsid w:val="00594300"/>
    <w:rsid w:val="005A262D"/>
    <w:rsid w:val="005B5494"/>
    <w:rsid w:val="005B5D37"/>
    <w:rsid w:val="005B7B4A"/>
    <w:rsid w:val="005C7690"/>
    <w:rsid w:val="005D1C93"/>
    <w:rsid w:val="005E1155"/>
    <w:rsid w:val="00607F9B"/>
    <w:rsid w:val="00620658"/>
    <w:rsid w:val="00625E91"/>
    <w:rsid w:val="0064017E"/>
    <w:rsid w:val="00653AE3"/>
    <w:rsid w:val="00680386"/>
    <w:rsid w:val="00681A07"/>
    <w:rsid w:val="00682286"/>
    <w:rsid w:val="006B0FE2"/>
    <w:rsid w:val="006C05C4"/>
    <w:rsid w:val="006C39A4"/>
    <w:rsid w:val="006D3028"/>
    <w:rsid w:val="006F5A09"/>
    <w:rsid w:val="00713FCF"/>
    <w:rsid w:val="00727D1D"/>
    <w:rsid w:val="00745A12"/>
    <w:rsid w:val="00751F08"/>
    <w:rsid w:val="00787C39"/>
    <w:rsid w:val="00793D30"/>
    <w:rsid w:val="00794383"/>
    <w:rsid w:val="007A4768"/>
    <w:rsid w:val="007D4597"/>
    <w:rsid w:val="007F2929"/>
    <w:rsid w:val="008063BF"/>
    <w:rsid w:val="00815791"/>
    <w:rsid w:val="00822271"/>
    <w:rsid w:val="0082259A"/>
    <w:rsid w:val="00825C35"/>
    <w:rsid w:val="00835E08"/>
    <w:rsid w:val="008479CE"/>
    <w:rsid w:val="0086154B"/>
    <w:rsid w:val="0086696B"/>
    <w:rsid w:val="008D74ED"/>
    <w:rsid w:val="008E062E"/>
    <w:rsid w:val="008E0D48"/>
    <w:rsid w:val="0090176D"/>
    <w:rsid w:val="009223AC"/>
    <w:rsid w:val="0093152A"/>
    <w:rsid w:val="00932BAF"/>
    <w:rsid w:val="00972395"/>
    <w:rsid w:val="009774DF"/>
    <w:rsid w:val="009B1A70"/>
    <w:rsid w:val="009B3329"/>
    <w:rsid w:val="009C48E2"/>
    <w:rsid w:val="009D6863"/>
    <w:rsid w:val="009F2D09"/>
    <w:rsid w:val="009F7DB8"/>
    <w:rsid w:val="00A14917"/>
    <w:rsid w:val="00A14A3D"/>
    <w:rsid w:val="00A21B88"/>
    <w:rsid w:val="00A45718"/>
    <w:rsid w:val="00A5573C"/>
    <w:rsid w:val="00A56C6E"/>
    <w:rsid w:val="00A61CEF"/>
    <w:rsid w:val="00A75A58"/>
    <w:rsid w:val="00A966A2"/>
    <w:rsid w:val="00A96BB6"/>
    <w:rsid w:val="00AB12D1"/>
    <w:rsid w:val="00AD0526"/>
    <w:rsid w:val="00AD6EBF"/>
    <w:rsid w:val="00B00192"/>
    <w:rsid w:val="00B1471F"/>
    <w:rsid w:val="00B46620"/>
    <w:rsid w:val="00B56729"/>
    <w:rsid w:val="00B611FD"/>
    <w:rsid w:val="00B61490"/>
    <w:rsid w:val="00B70DFE"/>
    <w:rsid w:val="00B721C3"/>
    <w:rsid w:val="00BA522C"/>
    <w:rsid w:val="00BA70DE"/>
    <w:rsid w:val="00BB2B1D"/>
    <w:rsid w:val="00BB78D2"/>
    <w:rsid w:val="00BD0529"/>
    <w:rsid w:val="00BE578F"/>
    <w:rsid w:val="00BE6DAA"/>
    <w:rsid w:val="00C14336"/>
    <w:rsid w:val="00C230B4"/>
    <w:rsid w:val="00C23845"/>
    <w:rsid w:val="00C327CB"/>
    <w:rsid w:val="00C33125"/>
    <w:rsid w:val="00C51130"/>
    <w:rsid w:val="00C516D5"/>
    <w:rsid w:val="00C67753"/>
    <w:rsid w:val="00C84210"/>
    <w:rsid w:val="00C9515E"/>
    <w:rsid w:val="00CA5CA0"/>
    <w:rsid w:val="00CC5520"/>
    <w:rsid w:val="00CC71BF"/>
    <w:rsid w:val="00CD43D5"/>
    <w:rsid w:val="00D027A7"/>
    <w:rsid w:val="00D03783"/>
    <w:rsid w:val="00D124CC"/>
    <w:rsid w:val="00D2651B"/>
    <w:rsid w:val="00D451D7"/>
    <w:rsid w:val="00D546C5"/>
    <w:rsid w:val="00D732B4"/>
    <w:rsid w:val="00D81BED"/>
    <w:rsid w:val="00DB1E70"/>
    <w:rsid w:val="00DB3D4E"/>
    <w:rsid w:val="00DB7A3C"/>
    <w:rsid w:val="00DD26D7"/>
    <w:rsid w:val="00DF6EFF"/>
    <w:rsid w:val="00DF7ED1"/>
    <w:rsid w:val="00E02A4A"/>
    <w:rsid w:val="00E0348F"/>
    <w:rsid w:val="00E10029"/>
    <w:rsid w:val="00E43054"/>
    <w:rsid w:val="00E60A2F"/>
    <w:rsid w:val="00E62592"/>
    <w:rsid w:val="00E65FFC"/>
    <w:rsid w:val="00E81E19"/>
    <w:rsid w:val="00E858BD"/>
    <w:rsid w:val="00E94CB3"/>
    <w:rsid w:val="00E97005"/>
    <w:rsid w:val="00EB317C"/>
    <w:rsid w:val="00EC23C4"/>
    <w:rsid w:val="00EC5604"/>
    <w:rsid w:val="00EC7143"/>
    <w:rsid w:val="00ED1E2B"/>
    <w:rsid w:val="00ED23E1"/>
    <w:rsid w:val="00ED4A48"/>
    <w:rsid w:val="00EF06A7"/>
    <w:rsid w:val="00EF0D5C"/>
    <w:rsid w:val="00F02C6B"/>
    <w:rsid w:val="00F05C72"/>
    <w:rsid w:val="00F12CB7"/>
    <w:rsid w:val="00F41C43"/>
    <w:rsid w:val="00F56A4C"/>
    <w:rsid w:val="00F9093D"/>
    <w:rsid w:val="00F93D6D"/>
    <w:rsid w:val="00F97140"/>
    <w:rsid w:val="00FD047F"/>
    <w:rsid w:val="00FD4138"/>
    <w:rsid w:val="00FD7152"/>
    <w:rsid w:val="00FF073E"/>
    <w:rsid w:val="2E5D3835"/>
    <w:rsid w:val="33AB2442"/>
    <w:rsid w:val="355E0905"/>
    <w:rsid w:val="41526FE2"/>
    <w:rsid w:val="477B4BAD"/>
    <w:rsid w:val="48CF34BC"/>
    <w:rsid w:val="4C9822A4"/>
    <w:rsid w:val="5B6955E5"/>
    <w:rsid w:val="6F7F241A"/>
    <w:rsid w:val="7180328E"/>
    <w:rsid w:val="74173D00"/>
    <w:rsid w:val="7F6D27E0"/>
    <w:rsid w:val="7F9F2967"/>
    <w:rsid w:val="9F5F1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5"/>
    <w:unhideWhenUsed/>
    <w:qFormat/>
    <w:uiPriority w:val="99"/>
    <w:rPr>
      <w:b/>
      <w:bCs/>
    </w:rPr>
  </w:style>
  <w:style w:type="paragraph" w:styleId="12">
    <w:name w:val="annotation text"/>
    <w:basedOn w:val="1"/>
    <w:link w:val="54"/>
    <w:unhideWhenUsed/>
    <w:qFormat/>
    <w:uiPriority w:val="99"/>
    <w:pPr>
      <w:jc w:val="left"/>
    </w:pPr>
  </w:style>
  <w:style w:type="paragraph" w:styleId="13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4">
    <w:name w:val="Balloon Text"/>
    <w:basedOn w:val="1"/>
    <w:link w:val="53"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3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</w:rPr>
  </w:style>
  <w:style w:type="paragraph" w:styleId="18">
    <w:name w:val="footnote text"/>
    <w:basedOn w:val="1"/>
    <w:link w:val="5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9">
    <w:name w:val="Title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annotation reference"/>
    <w:basedOn w:val="20"/>
    <w:unhideWhenUsed/>
    <w:qFormat/>
    <w:uiPriority w:val="99"/>
    <w:rPr>
      <w:sz w:val="21"/>
      <w:szCs w:val="21"/>
    </w:rPr>
  </w:style>
  <w:style w:type="character" w:styleId="24">
    <w:name w:val="footnote reference"/>
    <w:basedOn w:val="20"/>
    <w:unhideWhenUsed/>
    <w:qFormat/>
    <w:uiPriority w:val="99"/>
    <w:rPr>
      <w:vertAlign w:val="superscript"/>
    </w:rPr>
  </w:style>
  <w:style w:type="character" w:customStyle="1" w:styleId="26">
    <w:name w:val="标题 1 Char"/>
    <w:basedOn w:val="2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7">
    <w:name w:val="标题 2 Char"/>
    <w:basedOn w:val="20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8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9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30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1">
    <w:name w:val="标题 6 Char"/>
    <w:basedOn w:val="20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2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3">
    <w:name w:val="标题 8 Char"/>
    <w:basedOn w:val="20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4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5">
    <w:name w:val="标题 Char"/>
    <w:basedOn w:val="20"/>
    <w:link w:val="1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6">
    <w:name w:val="副标题 Char"/>
    <w:basedOn w:val="20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37">
    <w:name w:val="无间隔1"/>
    <w:link w:val="38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8">
    <w:name w:val="无间隔 Char"/>
    <w:basedOn w:val="20"/>
    <w:link w:val="37"/>
    <w:qFormat/>
    <w:uiPriority w:val="1"/>
  </w:style>
  <w:style w:type="paragraph" w:customStyle="1" w:styleId="39">
    <w:name w:val="列出段落1"/>
    <w:basedOn w:val="1"/>
    <w:qFormat/>
    <w:uiPriority w:val="34"/>
    <w:pPr>
      <w:ind w:left="720"/>
      <w:contextualSpacing/>
    </w:pPr>
  </w:style>
  <w:style w:type="paragraph" w:customStyle="1" w:styleId="40">
    <w:name w:val="引用1"/>
    <w:basedOn w:val="1"/>
    <w:next w:val="1"/>
    <w:link w:val="41"/>
    <w:qFormat/>
    <w:uiPriority w:val="29"/>
    <w:rPr>
      <w:i/>
      <w:iCs/>
      <w:color w:val="000000" w:themeColor="text1"/>
    </w:rPr>
  </w:style>
  <w:style w:type="character" w:customStyle="1" w:styleId="41">
    <w:name w:val="引用 Char"/>
    <w:basedOn w:val="20"/>
    <w:link w:val="40"/>
    <w:qFormat/>
    <w:uiPriority w:val="29"/>
    <w:rPr>
      <w:i/>
      <w:iCs/>
      <w:color w:val="000000" w:themeColor="text1"/>
    </w:rPr>
  </w:style>
  <w:style w:type="paragraph" w:customStyle="1" w:styleId="42">
    <w:name w:val="明显引用1"/>
    <w:basedOn w:val="1"/>
    <w:next w:val="1"/>
    <w:link w:val="4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3">
    <w:name w:val="明显引用 Char"/>
    <w:basedOn w:val="20"/>
    <w:link w:val="42"/>
    <w:qFormat/>
    <w:uiPriority w:val="30"/>
    <w:rPr>
      <w:b/>
      <w:bCs/>
      <w:i/>
      <w:iCs/>
      <w:color w:val="4F81BD" w:themeColor="accent1"/>
    </w:rPr>
  </w:style>
  <w:style w:type="character" w:customStyle="1" w:styleId="44">
    <w:name w:val="不明显强调1"/>
    <w:basedOn w:val="20"/>
    <w:qFormat/>
    <w:uiPriority w:val="19"/>
    <w:rPr>
      <w:i/>
      <w:iCs/>
      <w:color w:val="7F7F7F" w:themeColor="text1" w:themeTint="7F"/>
    </w:rPr>
  </w:style>
  <w:style w:type="character" w:customStyle="1" w:styleId="45">
    <w:name w:val="明显强调1"/>
    <w:basedOn w:val="20"/>
    <w:qFormat/>
    <w:uiPriority w:val="21"/>
    <w:rPr>
      <w:b/>
      <w:bCs/>
      <w:i/>
      <w:iCs/>
      <w:color w:val="4F81BD" w:themeColor="accent1"/>
    </w:rPr>
  </w:style>
  <w:style w:type="character" w:customStyle="1" w:styleId="46">
    <w:name w:val="不明显参考1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47">
    <w:name w:val="明显参考1"/>
    <w:basedOn w:val="20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8">
    <w:name w:val="书籍标题1"/>
    <w:basedOn w:val="20"/>
    <w:qFormat/>
    <w:uiPriority w:val="33"/>
    <w:rPr>
      <w:b/>
      <w:bCs/>
      <w:smallCaps/>
      <w:spacing w:val="5"/>
    </w:rPr>
  </w:style>
  <w:style w:type="paragraph" w:customStyle="1" w:styleId="49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50">
    <w:name w:val="页脚 Char"/>
    <w:basedOn w:val="20"/>
    <w:link w:val="15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1">
    <w:name w:val="脚注文本 Char"/>
    <w:basedOn w:val="20"/>
    <w:link w:val="1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2">
    <w:name w:val="页眉 Char"/>
    <w:basedOn w:val="20"/>
    <w:link w:val="1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53">
    <w:name w:val="批注框文本 Char"/>
    <w:basedOn w:val="20"/>
    <w:link w:val="1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4">
    <w:name w:val="批注文字 Char"/>
    <w:basedOn w:val="20"/>
    <w:link w:val="1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5">
    <w:name w:val="批注主题 Char"/>
    <w:basedOn w:val="54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9</Pages>
  <Words>558</Words>
  <Characters>3183</Characters>
  <Lines>26</Lines>
  <Paragraphs>7</Paragraphs>
  <TotalTime>0</TotalTime>
  <ScaleCrop>false</ScaleCrop>
  <LinksUpToDate>false</LinksUpToDate>
  <CharactersWithSpaces>3734</CharactersWithSpaces>
  <Application>WPS Office 专业版_10.1.0.6171_F1E327BC-269C-435d-A152-05C5408002CA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2017-12-09T21:46:00Z</dcterms:created>
  <dc:creator>丛人</dc:creator>
  <cp:lastModifiedBy>何灵均</cp:lastModifiedBy>
  <cp:lastPrinted>2022-03-10T19:25:00Z</cp:lastPrinted>
  <dcterms:modified xsi:type="dcterms:W3CDTF">2024-03-07T15:57:27Z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  <property fmtid="{D5CDD505-2E9C-101B-9397-08002B2CF9AE}" pid="3" name="ICV">
    <vt:lpwstr>C9733A19C100419CA9F238B5C3AF10A9</vt:lpwstr>
  </property>
</Properties>
</file>